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="宋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/>
          <w:b/>
          <w:bCs/>
          <w:color w:val="auto"/>
          <w:sz w:val="44"/>
          <w:szCs w:val="44"/>
          <w:lang w:val="en-US" w:eastAsia="zh-CN"/>
        </w:rPr>
        <w:t>采购需求</w:t>
      </w:r>
    </w:p>
    <w:p>
      <w:pPr>
        <w:pStyle w:val="9"/>
        <w:numPr>
          <w:ilvl w:val="0"/>
          <w:numId w:val="1"/>
        </w:numPr>
        <w:ind w:firstLineChars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服务要求</w:t>
      </w:r>
      <w:bookmarkStart w:id="1" w:name="_GoBack"/>
      <w:bookmarkEnd w:id="1"/>
    </w:p>
    <w:p>
      <w:pPr>
        <w:pStyle w:val="9"/>
        <w:numPr>
          <w:ilvl w:val="0"/>
          <w:numId w:val="2"/>
        </w:numPr>
        <w:ind w:firstLineChars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人员安排：共计</w:t>
      </w:r>
      <w:r>
        <w:rPr>
          <w:rFonts w:hint="eastAsia" w:ascii="微软雅黑" w:hAnsi="微软雅黑" w:eastAsia="微软雅黑"/>
          <w:sz w:val="24"/>
          <w:szCs w:val="24"/>
          <w:lang w:val="en-US" w:eastAsia="zh-CN"/>
        </w:rPr>
        <w:t>12</w:t>
      </w:r>
      <w:r>
        <w:rPr>
          <w:rFonts w:hint="eastAsia" w:ascii="微软雅黑" w:hAnsi="微软雅黑" w:eastAsia="微软雅黑"/>
          <w:sz w:val="24"/>
          <w:szCs w:val="24"/>
        </w:rPr>
        <w:t>人，</w:t>
      </w:r>
      <w:r>
        <w:rPr>
          <w:rFonts w:hint="eastAsia" w:ascii="微软雅黑" w:hAnsi="微软雅黑" w:eastAsia="微软雅黑"/>
          <w:sz w:val="24"/>
          <w:szCs w:val="24"/>
          <w:lang w:val="en-US" w:eastAsia="zh-CN"/>
        </w:rPr>
        <w:t>其中老旧小区3人、徽州人家小区7人、丰乐人家小区2人；</w:t>
      </w:r>
      <w:r>
        <w:rPr>
          <w:rFonts w:hint="eastAsia" w:ascii="微软雅黑" w:hAnsi="微软雅黑" w:eastAsia="微软雅黑"/>
          <w:sz w:val="24"/>
          <w:szCs w:val="24"/>
        </w:rPr>
        <w:t>人员年龄6</w:t>
      </w:r>
      <w:r>
        <w:rPr>
          <w:rFonts w:ascii="微软雅黑" w:hAnsi="微软雅黑" w:eastAsia="微软雅黑"/>
          <w:sz w:val="24"/>
          <w:szCs w:val="24"/>
        </w:rPr>
        <w:t>0</w:t>
      </w:r>
      <w:r>
        <w:rPr>
          <w:rFonts w:hint="eastAsia" w:ascii="微软雅黑" w:hAnsi="微软雅黑" w:eastAsia="微软雅黑"/>
          <w:sz w:val="24"/>
          <w:szCs w:val="24"/>
        </w:rPr>
        <w:t>周岁以内。</w:t>
      </w:r>
    </w:p>
    <w:p>
      <w:pPr>
        <w:pStyle w:val="9"/>
        <w:numPr>
          <w:ilvl w:val="0"/>
          <w:numId w:val="2"/>
        </w:numPr>
        <w:ind w:firstLineChars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服务费用：2</w:t>
      </w:r>
      <w:r>
        <w:rPr>
          <w:rFonts w:ascii="微软雅黑" w:hAnsi="微软雅黑" w:eastAsia="微软雅黑"/>
          <w:sz w:val="24"/>
          <w:szCs w:val="24"/>
        </w:rPr>
        <w:t>500</w:t>
      </w:r>
      <w:r>
        <w:rPr>
          <w:rFonts w:hint="eastAsia" w:ascii="微软雅黑" w:hAnsi="微软雅黑" w:eastAsia="微软雅黑"/>
          <w:sz w:val="24"/>
          <w:szCs w:val="24"/>
        </w:rPr>
        <w:t>元/人/月，合计：</w:t>
      </w:r>
      <w:r>
        <w:rPr>
          <w:rFonts w:hint="eastAsia" w:ascii="微软雅黑" w:hAnsi="微软雅黑" w:eastAsia="微软雅黑"/>
          <w:sz w:val="24"/>
          <w:szCs w:val="24"/>
          <w:lang w:val="en-US" w:eastAsia="zh-CN"/>
        </w:rPr>
        <w:t>360000</w:t>
      </w:r>
      <w:r>
        <w:rPr>
          <w:rFonts w:hint="eastAsia" w:ascii="微软雅黑" w:hAnsi="微软雅黑" w:eastAsia="微软雅黑"/>
          <w:sz w:val="24"/>
          <w:szCs w:val="24"/>
        </w:rPr>
        <w:t>元/年。</w:t>
      </w:r>
    </w:p>
    <w:p>
      <w:pPr>
        <w:pStyle w:val="9"/>
        <w:numPr>
          <w:ilvl w:val="0"/>
          <w:numId w:val="2"/>
        </w:numPr>
        <w:ind w:firstLineChars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服务配置：要求配置电动巡逻车不少于3辆，电子巡更器不少于3套，电子巡更卡点不少于</w:t>
      </w:r>
      <w:r>
        <w:rPr>
          <w:rFonts w:hint="eastAsia" w:ascii="微软雅黑" w:hAnsi="微软雅黑" w:eastAsia="微软雅黑"/>
          <w:sz w:val="24"/>
          <w:szCs w:val="24"/>
          <w:lang w:val="en-US" w:eastAsia="zh-CN"/>
        </w:rPr>
        <w:t>115</w:t>
      </w:r>
      <w:r>
        <w:rPr>
          <w:rFonts w:hint="eastAsia" w:ascii="微软雅黑" w:hAnsi="微软雅黑" w:eastAsia="微软雅黑"/>
          <w:sz w:val="24"/>
          <w:szCs w:val="24"/>
        </w:rPr>
        <w:t>个。</w:t>
      </w:r>
    </w:p>
    <w:p>
      <w:pPr>
        <w:pStyle w:val="9"/>
        <w:numPr>
          <w:ilvl w:val="0"/>
          <w:numId w:val="2"/>
        </w:numPr>
        <w:ind w:firstLineChars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服务内容：</w:t>
      </w:r>
    </w:p>
    <w:p>
      <w:pPr>
        <w:spacing w:line="360" w:lineRule="auto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对徽州区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管辖</w:t>
      </w:r>
      <w:r>
        <w:rPr>
          <w:rFonts w:hint="eastAsia" w:ascii="微软雅黑" w:hAnsi="微软雅黑" w:eastAsia="微软雅黑"/>
          <w:sz w:val="24"/>
          <w:szCs w:val="24"/>
        </w:rPr>
        <w:t>小区进行</w:t>
      </w:r>
      <w:r>
        <w:rPr>
          <w:rFonts w:hint="eastAsia" w:ascii="微软雅黑" w:hAnsi="微软雅黑" w:eastAsia="微软雅黑"/>
          <w:sz w:val="24"/>
          <w:szCs w:val="24"/>
          <w:lang w:val="en-US" w:eastAsia="zh-CN"/>
        </w:rPr>
        <w:t>出入口管理、</w:t>
      </w:r>
      <w:r>
        <w:rPr>
          <w:rFonts w:hint="eastAsia" w:ascii="微软雅黑" w:hAnsi="微软雅黑" w:eastAsia="微软雅黑"/>
          <w:sz w:val="24"/>
          <w:szCs w:val="24"/>
        </w:rPr>
        <w:t>消防安全、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设备安全、</w:t>
      </w:r>
      <w:r>
        <w:rPr>
          <w:rFonts w:hint="eastAsia" w:ascii="微软雅黑" w:hAnsi="微软雅黑" w:eastAsia="微软雅黑"/>
          <w:sz w:val="24"/>
          <w:szCs w:val="24"/>
        </w:rPr>
        <w:t>车辆秩序维护、重点位置巡更管理。</w:t>
      </w:r>
    </w:p>
    <w:p>
      <w:pPr>
        <w:spacing w:line="360" w:lineRule="auto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具体内容如下：</w:t>
      </w:r>
    </w:p>
    <w:p>
      <w:pPr>
        <w:pStyle w:val="5"/>
        <w:spacing w:line="360" w:lineRule="auto"/>
        <w:textAlignment w:val="top"/>
        <w:rPr>
          <w:rFonts w:ascii="微软雅黑" w:hAnsi="微软雅黑" w:eastAsia="微软雅黑" w:cs="宋体"/>
          <w:b/>
          <w:bCs/>
          <w:sz w:val="24"/>
          <w:szCs w:val="24"/>
        </w:rPr>
      </w:pPr>
      <w:r>
        <w:rPr>
          <w:rFonts w:ascii="微软雅黑" w:hAnsi="微软雅黑" w:eastAsia="微软雅黑" w:cs="宋体"/>
          <w:b/>
          <w:bCs/>
          <w:sz w:val="24"/>
          <w:szCs w:val="24"/>
        </w:rPr>
        <w:t>消防</w:t>
      </w:r>
      <w:r>
        <w:rPr>
          <w:rFonts w:hint="eastAsia" w:ascii="微软雅黑" w:hAnsi="微软雅黑" w:eastAsia="微软雅黑" w:cs="宋体"/>
          <w:b/>
          <w:bCs/>
          <w:sz w:val="24"/>
          <w:szCs w:val="24"/>
        </w:rPr>
        <w:t>安全</w:t>
      </w:r>
      <w:r>
        <w:rPr>
          <w:rFonts w:ascii="微软雅黑" w:hAnsi="微软雅黑" w:eastAsia="微软雅黑" w:cs="宋体"/>
          <w:b/>
          <w:bCs/>
          <w:sz w:val="24"/>
          <w:szCs w:val="24"/>
        </w:rPr>
        <w:t>保障</w:t>
      </w:r>
    </w:p>
    <w:p>
      <w:pPr>
        <w:pStyle w:val="5"/>
        <w:spacing w:line="360" w:lineRule="auto"/>
        <w:ind w:firstLine="480" w:firstLineChars="200"/>
        <w:textAlignment w:val="top"/>
        <w:rPr>
          <w:rFonts w:ascii="微软雅黑" w:hAnsi="微软雅黑" w:eastAsia="微软雅黑" w:cs="宋体"/>
          <w:b/>
          <w:bCs/>
          <w:sz w:val="24"/>
          <w:szCs w:val="24"/>
        </w:rPr>
      </w:pPr>
      <w:r>
        <w:rPr>
          <w:rFonts w:ascii="微软雅黑" w:hAnsi="微软雅黑" w:eastAsia="微软雅黑" w:cs="宋体"/>
          <w:sz w:val="24"/>
          <w:szCs w:val="24"/>
        </w:rPr>
        <w:t>（1）组建消防管理小组对所有项目进行巡查，针对消防隐患提出整改建议并协助政府进行整改；</w:t>
      </w:r>
    </w:p>
    <w:p>
      <w:pPr>
        <w:pStyle w:val="5"/>
        <w:spacing w:line="360" w:lineRule="auto"/>
        <w:ind w:firstLine="480" w:firstLineChars="200"/>
        <w:textAlignment w:val="top"/>
        <w:rPr>
          <w:rFonts w:ascii="微软雅黑" w:hAnsi="微软雅黑" w:eastAsia="微软雅黑" w:cs="宋体"/>
          <w:sz w:val="24"/>
          <w:szCs w:val="24"/>
        </w:rPr>
      </w:pPr>
      <w:r>
        <w:rPr>
          <w:rFonts w:ascii="微软雅黑" w:hAnsi="微软雅黑" w:eastAsia="微软雅黑" w:cs="宋体"/>
          <w:sz w:val="24"/>
          <w:szCs w:val="24"/>
        </w:rPr>
        <w:t>（2）每月巡查并记录各小区的消防设施状况且做好登记，对楼道灭火器、消火栓进行全方位维护管理，确保其随时能正常使用；</w:t>
      </w:r>
    </w:p>
    <w:p>
      <w:pPr>
        <w:pStyle w:val="5"/>
        <w:spacing w:line="360" w:lineRule="auto"/>
        <w:ind w:firstLine="480" w:firstLineChars="200"/>
        <w:textAlignment w:val="top"/>
        <w:rPr>
          <w:rFonts w:ascii="微软雅黑" w:hAnsi="微软雅黑" w:eastAsia="微软雅黑" w:cs="宋体"/>
          <w:sz w:val="24"/>
          <w:szCs w:val="24"/>
        </w:rPr>
      </w:pPr>
      <w:r>
        <w:rPr>
          <w:rFonts w:ascii="微软雅黑" w:hAnsi="微软雅黑" w:eastAsia="微软雅黑" w:cs="宋体"/>
          <w:sz w:val="24"/>
          <w:szCs w:val="24"/>
        </w:rPr>
        <w:t>（3）在消防通道张贴消防通道分布图或者设置醒目标识，确保无占用和堵塞消防通道现象；</w:t>
      </w:r>
    </w:p>
    <w:p>
      <w:pPr>
        <w:pStyle w:val="5"/>
        <w:spacing w:line="360" w:lineRule="auto"/>
        <w:ind w:firstLine="480" w:firstLineChars="200"/>
        <w:textAlignment w:val="top"/>
        <w:rPr>
          <w:rFonts w:ascii="微软雅黑" w:hAnsi="微软雅黑" w:eastAsia="微软雅黑" w:cs="宋体"/>
          <w:sz w:val="24"/>
          <w:szCs w:val="24"/>
        </w:rPr>
      </w:pPr>
      <w:r>
        <w:rPr>
          <w:rFonts w:ascii="微软雅黑" w:hAnsi="微软雅黑" w:eastAsia="微软雅黑" w:cs="宋体"/>
          <w:sz w:val="24"/>
          <w:szCs w:val="24"/>
        </w:rPr>
        <w:t>（4）协助社区并邀请居民开展经常性的消防知识培训，增强广大居区的消防安全意识；</w:t>
      </w:r>
    </w:p>
    <w:p>
      <w:pPr>
        <w:pStyle w:val="5"/>
        <w:spacing w:line="360" w:lineRule="auto"/>
        <w:ind w:firstLine="480" w:firstLineChars="200"/>
        <w:textAlignment w:val="top"/>
        <w:rPr>
          <w:rFonts w:ascii="微软雅黑" w:hAnsi="微软雅黑" w:eastAsia="微软雅黑" w:cs="宋体"/>
          <w:sz w:val="24"/>
          <w:szCs w:val="24"/>
        </w:rPr>
      </w:pPr>
      <w:r>
        <w:rPr>
          <w:rFonts w:hint="eastAsia" w:ascii="微软雅黑" w:hAnsi="微软雅黑" w:eastAsia="微软雅黑" w:cs="宋体"/>
          <w:sz w:val="24"/>
          <w:szCs w:val="24"/>
        </w:rPr>
        <w:t>（5）</w:t>
      </w:r>
      <w:r>
        <w:rPr>
          <w:rFonts w:ascii="微软雅黑" w:hAnsi="微软雅黑" w:eastAsia="微软雅黑" w:cs="宋体"/>
          <w:sz w:val="24"/>
          <w:szCs w:val="24"/>
        </w:rPr>
        <w:t>确保消防通道大门的门锁无锈蚀，钥匙统一存放，门锁随时可开启。</w:t>
      </w:r>
    </w:p>
    <w:p>
      <w:pPr>
        <w:pStyle w:val="5"/>
        <w:spacing w:line="360" w:lineRule="auto"/>
        <w:ind w:firstLine="480" w:firstLineChars="200"/>
        <w:textAlignment w:val="top"/>
        <w:rPr>
          <w:rFonts w:ascii="微软雅黑" w:hAnsi="微软雅黑" w:eastAsia="微软雅黑" w:cs="宋体"/>
          <w:sz w:val="24"/>
          <w:szCs w:val="24"/>
        </w:rPr>
      </w:pPr>
      <w:r>
        <w:rPr>
          <w:rFonts w:hint="eastAsia" w:ascii="微软雅黑" w:hAnsi="微软雅黑" w:eastAsia="微软雅黑" w:cs="宋体"/>
          <w:sz w:val="24"/>
          <w:szCs w:val="24"/>
        </w:rPr>
        <w:t>（6）</w:t>
      </w:r>
      <w:r>
        <w:rPr>
          <w:rFonts w:ascii="微软雅黑" w:hAnsi="微软雅黑" w:eastAsia="微软雅黑" w:cs="宋体"/>
          <w:sz w:val="24"/>
          <w:szCs w:val="24"/>
        </w:rPr>
        <w:t>确保楼道无堆放杂物或被人占用。</w:t>
      </w:r>
    </w:p>
    <w:p>
      <w:pPr>
        <w:pStyle w:val="5"/>
        <w:spacing w:line="360" w:lineRule="auto"/>
        <w:textAlignment w:val="top"/>
        <w:rPr>
          <w:rFonts w:ascii="微软雅黑" w:hAnsi="微软雅黑" w:eastAsia="微软雅黑" w:cs="宋体"/>
          <w:b/>
          <w:bCs/>
          <w:sz w:val="24"/>
          <w:szCs w:val="24"/>
        </w:rPr>
      </w:pPr>
      <w:r>
        <w:rPr>
          <w:rFonts w:ascii="微软雅黑" w:hAnsi="微软雅黑" w:eastAsia="微软雅黑" w:cs="宋体"/>
          <w:b/>
          <w:bCs/>
          <w:sz w:val="24"/>
          <w:szCs w:val="24"/>
        </w:rPr>
        <w:t>安全秩序维护服务</w:t>
      </w:r>
    </w:p>
    <w:p>
      <w:pPr>
        <w:pStyle w:val="5"/>
        <w:spacing w:line="360" w:lineRule="auto"/>
        <w:ind w:firstLine="480" w:firstLineChars="200"/>
        <w:textAlignment w:val="top"/>
        <w:rPr>
          <w:rFonts w:ascii="微软雅黑" w:hAnsi="微软雅黑" w:eastAsia="微软雅黑" w:cs="宋体"/>
          <w:sz w:val="24"/>
          <w:szCs w:val="24"/>
        </w:rPr>
      </w:pPr>
      <w:r>
        <w:rPr>
          <w:rFonts w:ascii="微软雅黑" w:hAnsi="微软雅黑" w:eastAsia="微软雅黑" w:cs="宋体"/>
          <w:sz w:val="24"/>
          <w:szCs w:val="24"/>
        </w:rPr>
        <w:t>实现“统分结合”的安全协管体系，除在重点区域设立固定安全岗位外，还将设立循环巡查小组、应急事件处理小组，对所有项目进行管控；老旧小区，建筑设施不完善，</w:t>
      </w:r>
      <w:r>
        <w:rPr>
          <w:rFonts w:hint="eastAsia" w:ascii="微软雅黑" w:hAnsi="微软雅黑" w:eastAsia="微软雅黑" w:cs="宋体"/>
          <w:sz w:val="24"/>
          <w:szCs w:val="24"/>
        </w:rPr>
        <w:t>要求</w:t>
      </w:r>
      <w:r>
        <w:rPr>
          <w:rFonts w:ascii="微软雅黑" w:hAnsi="微软雅黑" w:eastAsia="微软雅黑" w:cs="宋体"/>
          <w:sz w:val="24"/>
          <w:szCs w:val="24"/>
        </w:rPr>
        <w:t>采用巡逻车，配备灭火器，24小时机动循环巡查。在小区公示栏公示巡逻人员的联系方式，以便服务于小区业主，以便处理各种突发事件，预防各类治安刑事案件的发生。具体做到以下几点：</w:t>
      </w:r>
    </w:p>
    <w:p>
      <w:pPr>
        <w:pStyle w:val="5"/>
        <w:spacing w:line="360" w:lineRule="auto"/>
        <w:textAlignment w:val="top"/>
        <w:rPr>
          <w:rFonts w:ascii="微软雅黑" w:hAnsi="微软雅黑" w:eastAsia="微软雅黑" w:cs="宋体"/>
          <w:sz w:val="24"/>
          <w:szCs w:val="24"/>
        </w:rPr>
      </w:pPr>
      <w:r>
        <w:rPr>
          <w:rFonts w:ascii="微软雅黑" w:hAnsi="微软雅黑" w:eastAsia="微软雅黑" w:cs="宋体"/>
          <w:sz w:val="24"/>
          <w:szCs w:val="24"/>
        </w:rPr>
        <w:t>（1）无违章停车(机动车、非机动车)现象(城市管理部门在人行道、非机动车道、机动车道旁统一划线，机动车、非机动车在线内停放，且不影响正常交通，这种情况不算作违章停车)。</w:t>
      </w:r>
    </w:p>
    <w:p>
      <w:pPr>
        <w:pStyle w:val="5"/>
        <w:spacing w:line="360" w:lineRule="auto"/>
        <w:textAlignment w:val="top"/>
        <w:rPr>
          <w:rFonts w:ascii="微软雅黑" w:hAnsi="微软雅黑" w:eastAsia="微软雅黑" w:cs="宋体"/>
          <w:sz w:val="24"/>
          <w:szCs w:val="24"/>
        </w:rPr>
      </w:pPr>
      <w:r>
        <w:rPr>
          <w:rFonts w:ascii="微软雅黑" w:hAnsi="微软雅黑" w:eastAsia="微软雅黑" w:cs="宋体"/>
          <w:sz w:val="24"/>
          <w:szCs w:val="24"/>
        </w:rPr>
        <w:t>（</w:t>
      </w:r>
      <w:r>
        <w:rPr>
          <w:rFonts w:hint="eastAsia" w:ascii="微软雅黑" w:hAnsi="微软雅黑" w:eastAsia="微软雅黑" w:cs="宋体"/>
          <w:sz w:val="24"/>
          <w:szCs w:val="24"/>
        </w:rPr>
        <w:t>2</w:t>
      </w:r>
      <w:r>
        <w:rPr>
          <w:rFonts w:ascii="微软雅黑" w:hAnsi="微软雅黑" w:eastAsia="微软雅黑" w:cs="宋体"/>
          <w:sz w:val="24"/>
          <w:szCs w:val="24"/>
        </w:rPr>
        <w:t>）无乱张贴小广告、乱设广告牌、乱发小广告现象，无电线私拉乱接现象。</w:t>
      </w:r>
    </w:p>
    <w:p>
      <w:pPr>
        <w:pStyle w:val="5"/>
        <w:spacing w:line="360" w:lineRule="auto"/>
        <w:textAlignment w:val="top"/>
        <w:rPr>
          <w:rFonts w:ascii="微软雅黑" w:hAnsi="微软雅黑" w:eastAsia="微软雅黑" w:cs="宋体"/>
          <w:sz w:val="24"/>
          <w:szCs w:val="24"/>
        </w:rPr>
      </w:pPr>
      <w:r>
        <w:rPr>
          <w:rFonts w:hint="eastAsia" w:ascii="微软雅黑" w:hAnsi="微软雅黑" w:eastAsia="微软雅黑" w:cs="宋体"/>
          <w:sz w:val="24"/>
          <w:szCs w:val="24"/>
        </w:rPr>
        <w:t>（3）</w:t>
      </w:r>
      <w:r>
        <w:rPr>
          <w:rFonts w:ascii="微软雅黑" w:hAnsi="微软雅黑" w:eastAsia="微软雅黑" w:cs="宋体"/>
          <w:sz w:val="24"/>
          <w:szCs w:val="24"/>
        </w:rPr>
        <w:t>发现形迹可疑、闹事和其他衣着不整的人员阻止其入内。</w:t>
      </w:r>
    </w:p>
    <w:p>
      <w:pPr>
        <w:pStyle w:val="5"/>
        <w:spacing w:line="360" w:lineRule="auto"/>
        <w:textAlignment w:val="top"/>
        <w:rPr>
          <w:rFonts w:hint="eastAsia" w:ascii="微软雅黑" w:hAnsi="微软雅黑" w:eastAsia="微软雅黑" w:cs="宋体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sz w:val="24"/>
          <w:szCs w:val="24"/>
        </w:rPr>
        <w:t>（4）</w:t>
      </w:r>
      <w:r>
        <w:rPr>
          <w:rFonts w:ascii="微软雅黑" w:hAnsi="微软雅黑" w:eastAsia="微软雅黑" w:cs="宋体"/>
          <w:sz w:val="24"/>
          <w:szCs w:val="24"/>
        </w:rPr>
        <w:t>维持</w:t>
      </w:r>
      <w:r>
        <w:rPr>
          <w:rFonts w:hint="eastAsia" w:ascii="微软雅黑" w:hAnsi="微软雅黑" w:eastAsia="微软雅黑" w:cs="宋体"/>
          <w:sz w:val="24"/>
          <w:szCs w:val="24"/>
          <w:lang w:val="en-US" w:eastAsia="zh-CN"/>
        </w:rPr>
        <w:t>出入</w:t>
      </w:r>
      <w:r>
        <w:rPr>
          <w:rFonts w:ascii="微软雅黑" w:hAnsi="微软雅黑" w:eastAsia="微软雅黑" w:cs="宋体"/>
          <w:sz w:val="24"/>
          <w:szCs w:val="24"/>
        </w:rPr>
        <w:t>口交通秩序，指挥和疏导进出车辆，避免不必要的交通堵塞</w:t>
      </w:r>
      <w:r>
        <w:rPr>
          <w:rFonts w:hint="eastAsia" w:ascii="微软雅黑" w:hAnsi="微软雅黑" w:eastAsia="微软雅黑" w:cs="宋体"/>
          <w:sz w:val="24"/>
          <w:szCs w:val="24"/>
          <w:lang w:eastAsia="zh-CN"/>
        </w:rPr>
        <w:t>，规范立岗，每日立岗时间不少于</w:t>
      </w:r>
      <w:r>
        <w:rPr>
          <w:rFonts w:hint="eastAsia" w:ascii="微软雅黑" w:hAnsi="微软雅黑" w:eastAsia="微软雅黑" w:cs="宋体"/>
          <w:sz w:val="24"/>
          <w:szCs w:val="24"/>
          <w:lang w:val="en-US" w:eastAsia="zh-CN"/>
        </w:rPr>
        <w:t>2小时，</w:t>
      </w:r>
      <w:r>
        <w:rPr>
          <w:rFonts w:hint="eastAsia" w:ascii="微软雅黑" w:hAnsi="微软雅黑" w:eastAsia="微软雅黑" w:cs="宋体"/>
          <w:sz w:val="24"/>
          <w:szCs w:val="24"/>
          <w:lang w:eastAsia="zh-CN"/>
        </w:rPr>
        <w:t>早</w:t>
      </w:r>
      <w:r>
        <w:rPr>
          <w:rFonts w:hint="eastAsia" w:ascii="微软雅黑" w:hAnsi="微软雅黑" w:eastAsia="微软雅黑" w:cs="宋体"/>
          <w:sz w:val="24"/>
          <w:szCs w:val="24"/>
          <w:lang w:val="en-US" w:eastAsia="zh-CN"/>
        </w:rPr>
        <w:t>7：00-8：00，晚17：00-18：00。</w:t>
      </w:r>
    </w:p>
    <w:p>
      <w:pPr>
        <w:pStyle w:val="5"/>
        <w:spacing w:line="360" w:lineRule="auto"/>
        <w:textAlignment w:val="top"/>
        <w:rPr>
          <w:rFonts w:ascii="微软雅黑" w:hAnsi="微软雅黑" w:eastAsia="微软雅黑" w:cs="宋体"/>
          <w:sz w:val="24"/>
          <w:szCs w:val="24"/>
        </w:rPr>
      </w:pPr>
      <w:r>
        <w:rPr>
          <w:rFonts w:hint="eastAsia" w:ascii="微软雅黑" w:hAnsi="微软雅黑" w:eastAsia="微软雅黑" w:cs="宋体"/>
          <w:sz w:val="24"/>
          <w:szCs w:val="24"/>
        </w:rPr>
        <w:t>（5）</w:t>
      </w:r>
      <w:r>
        <w:rPr>
          <w:rFonts w:ascii="微软雅黑" w:hAnsi="微软雅黑" w:eastAsia="微软雅黑" w:cs="宋体"/>
          <w:sz w:val="24"/>
          <w:szCs w:val="24"/>
        </w:rPr>
        <w:t>定时按巡逻线路巡视检查维护秩序。</w:t>
      </w:r>
    </w:p>
    <w:p>
      <w:pPr>
        <w:pStyle w:val="5"/>
        <w:spacing w:line="360" w:lineRule="auto"/>
        <w:textAlignment w:val="top"/>
        <w:rPr>
          <w:rFonts w:hint="default" w:ascii="微软雅黑" w:hAnsi="微软雅黑" w:eastAsia="微软雅黑" w:cs="宋体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sz w:val="24"/>
          <w:szCs w:val="24"/>
          <w:lang w:eastAsia="zh-CN"/>
        </w:rPr>
        <w:t>（</w:t>
      </w:r>
      <w:r>
        <w:rPr>
          <w:rFonts w:hint="eastAsia" w:ascii="微软雅黑" w:hAnsi="微软雅黑" w:eastAsia="微软雅黑" w:cs="宋体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宋体"/>
          <w:sz w:val="24"/>
          <w:szCs w:val="24"/>
          <w:lang w:eastAsia="zh-CN"/>
        </w:rPr>
        <w:t>）每月</w:t>
      </w:r>
      <w:r>
        <w:rPr>
          <w:rFonts w:hint="eastAsia" w:ascii="微软雅黑" w:hAnsi="微软雅黑" w:eastAsia="微软雅黑" w:cs="宋体"/>
          <w:sz w:val="24"/>
          <w:szCs w:val="24"/>
          <w:lang w:val="en-US" w:eastAsia="zh-CN"/>
        </w:rPr>
        <w:t>1号提交上月工作登记本及本月工作安排。</w:t>
      </w:r>
    </w:p>
    <w:p>
      <w:pPr>
        <w:pStyle w:val="5"/>
        <w:spacing w:line="360" w:lineRule="auto"/>
        <w:textAlignment w:val="top"/>
        <w:rPr>
          <w:rFonts w:ascii="微软雅黑" w:hAnsi="微软雅黑" w:eastAsia="微软雅黑" w:cs="宋体"/>
          <w:sz w:val="24"/>
          <w:szCs w:val="24"/>
        </w:rPr>
      </w:pPr>
      <w:r>
        <w:rPr>
          <w:rFonts w:hint="eastAsia" w:ascii="微软雅黑" w:hAnsi="微软雅黑" w:eastAsia="微软雅黑" w:cs="宋体"/>
          <w:sz w:val="24"/>
          <w:szCs w:val="24"/>
        </w:rPr>
        <w:t>（6）</w:t>
      </w:r>
      <w:r>
        <w:rPr>
          <w:rFonts w:ascii="微软雅黑" w:hAnsi="微软雅黑" w:eastAsia="微软雅黑" w:cs="宋体"/>
          <w:sz w:val="24"/>
          <w:szCs w:val="24"/>
        </w:rPr>
        <w:t>配合开展重大活动及其它相关工作。</w:t>
      </w:r>
    </w:p>
    <w:p>
      <w:pPr>
        <w:tabs>
          <w:tab w:val="left" w:pos="3285"/>
        </w:tabs>
        <w:jc w:val="center"/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绩效考核标准及要求</w:t>
      </w:r>
    </w:p>
    <w:tbl>
      <w:tblPr>
        <w:tblStyle w:val="6"/>
        <w:tblW w:w="84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"/>
        <w:gridCol w:w="2384"/>
        <w:gridCol w:w="2940"/>
        <w:gridCol w:w="1265"/>
        <w:gridCol w:w="1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592" w:type="dxa"/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sz w:val="24"/>
                <w:szCs w:val="24"/>
              </w:rPr>
              <w:t>序号</w:t>
            </w:r>
          </w:p>
        </w:tc>
        <w:tc>
          <w:tcPr>
            <w:tcW w:w="238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微软雅黑" w:hAnsi="微软雅黑" w:eastAsia="微软雅黑" w:cs="宋体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sz w:val="24"/>
                <w:szCs w:val="24"/>
              </w:rPr>
              <w:t>考评内容</w:t>
            </w:r>
          </w:p>
        </w:tc>
        <w:tc>
          <w:tcPr>
            <w:tcW w:w="2940" w:type="dxa"/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sz w:val="24"/>
                <w:szCs w:val="24"/>
              </w:rPr>
              <w:t>考核分值</w:t>
            </w:r>
          </w:p>
        </w:tc>
        <w:tc>
          <w:tcPr>
            <w:tcW w:w="126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微软雅黑" w:hAnsi="微软雅黑" w:eastAsia="微软雅黑" w:cs="宋体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sz w:val="24"/>
                <w:szCs w:val="24"/>
                <w:lang w:eastAsia="zh-CN"/>
              </w:rPr>
              <w:t>扣分</w:t>
            </w:r>
          </w:p>
        </w:tc>
        <w:tc>
          <w:tcPr>
            <w:tcW w:w="126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微软雅黑" w:hAnsi="微软雅黑" w:eastAsia="微软雅黑" w:cs="宋体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sz w:val="24"/>
                <w:szCs w:val="24"/>
                <w:lang w:eastAsia="zh-CN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592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微软雅黑" w:hAnsi="微软雅黑" w:eastAsia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sz w:val="24"/>
                <w:szCs w:val="24"/>
              </w:rPr>
              <w:t>1</w:t>
            </w:r>
          </w:p>
        </w:tc>
        <w:tc>
          <w:tcPr>
            <w:tcW w:w="2384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int="default" w:ascii="微软雅黑" w:hAnsi="微软雅黑" w:eastAsia="微软雅黑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在岗睡觉</w:t>
            </w:r>
          </w:p>
        </w:tc>
        <w:tc>
          <w:tcPr>
            <w:tcW w:w="2940" w:type="dxa"/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sz w:val="24"/>
                <w:szCs w:val="24"/>
                <w:lang w:eastAsia="zh-CN"/>
              </w:rPr>
              <w:t>总分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  <w:lang w:val="en-US" w:eastAsia="zh-CN"/>
              </w:rPr>
              <w:t>5分，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</w:rPr>
              <w:t>一次扣除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</w:rPr>
              <w:t>分。</w:t>
            </w:r>
          </w:p>
        </w:tc>
        <w:tc>
          <w:tcPr>
            <w:tcW w:w="1265" w:type="dxa"/>
            <w:vAlign w:val="center"/>
          </w:tcPr>
          <w:p>
            <w:pPr>
              <w:spacing w:line="400" w:lineRule="exact"/>
              <w:rPr>
                <w:rFonts w:hint="eastAsia" w:ascii="微软雅黑" w:hAnsi="微软雅黑" w:eastAsia="微软雅黑" w:cs="宋体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>
            <w:pPr>
              <w:spacing w:line="400" w:lineRule="exact"/>
              <w:rPr>
                <w:rFonts w:hint="eastAsia" w:ascii="微软雅黑" w:hAnsi="微软雅黑" w:eastAsia="微软雅黑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592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微软雅黑" w:hAnsi="微软雅黑" w:eastAsia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sz w:val="24"/>
                <w:szCs w:val="24"/>
              </w:rPr>
              <w:t>2</w:t>
            </w:r>
          </w:p>
        </w:tc>
        <w:tc>
          <w:tcPr>
            <w:tcW w:w="2384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微软雅黑" w:hAnsi="微软雅黑" w:eastAsia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脱岗</w:t>
            </w:r>
          </w:p>
        </w:tc>
        <w:tc>
          <w:tcPr>
            <w:tcW w:w="2940" w:type="dxa"/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sz w:val="24"/>
                <w:szCs w:val="24"/>
                <w:lang w:eastAsia="zh-CN"/>
              </w:rPr>
              <w:t>总分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  <w:lang w:val="en-US" w:eastAsia="zh-CN"/>
              </w:rPr>
              <w:t>10分，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</w:rPr>
              <w:t>一次扣除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</w:rPr>
              <w:t>分。</w:t>
            </w:r>
          </w:p>
        </w:tc>
        <w:tc>
          <w:tcPr>
            <w:tcW w:w="1265" w:type="dxa"/>
            <w:vAlign w:val="center"/>
          </w:tcPr>
          <w:p>
            <w:pPr>
              <w:spacing w:line="400" w:lineRule="exact"/>
              <w:rPr>
                <w:rFonts w:hint="eastAsia" w:ascii="微软雅黑" w:hAnsi="微软雅黑" w:eastAsia="微软雅黑" w:cs="宋体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>
            <w:pPr>
              <w:spacing w:line="400" w:lineRule="exact"/>
              <w:rPr>
                <w:rFonts w:hint="eastAsia" w:ascii="微软雅黑" w:hAnsi="微软雅黑" w:eastAsia="微软雅黑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0" w:hRule="atLeast"/>
          <w:jc w:val="center"/>
        </w:trPr>
        <w:tc>
          <w:tcPr>
            <w:tcW w:w="592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微软雅黑" w:hAnsi="微软雅黑" w:eastAsia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sz w:val="24"/>
                <w:szCs w:val="24"/>
              </w:rPr>
              <w:t>3</w:t>
            </w:r>
          </w:p>
        </w:tc>
        <w:tc>
          <w:tcPr>
            <w:tcW w:w="2384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微软雅黑" w:hAnsi="微软雅黑" w:eastAsia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迟到、早退</w:t>
            </w:r>
          </w:p>
        </w:tc>
        <w:tc>
          <w:tcPr>
            <w:tcW w:w="2940" w:type="dxa"/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>总分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val="en-US" w:eastAsia="zh-CN"/>
              </w:rPr>
              <w:t>10分，</w:t>
            </w:r>
            <w:r>
              <w:rPr>
                <w:rFonts w:hint="eastAsia" w:ascii="微软雅黑" w:hAnsi="微软雅黑" w:eastAsia="微软雅黑"/>
                <w:sz w:val="24"/>
                <w:szCs w:val="24"/>
              </w:rPr>
              <w:t>10分钟以内的，给予警告；10-30分钟的，一次扣除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/>
                <w:sz w:val="24"/>
                <w:szCs w:val="24"/>
              </w:rPr>
              <w:t>分；30分钟以上的，一次扣除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/>
                <w:sz w:val="24"/>
                <w:szCs w:val="24"/>
              </w:rPr>
              <w:t>分。</w:t>
            </w:r>
          </w:p>
        </w:tc>
        <w:tc>
          <w:tcPr>
            <w:tcW w:w="1265" w:type="dxa"/>
            <w:vAlign w:val="center"/>
          </w:tcPr>
          <w:p>
            <w:pPr>
              <w:spacing w:line="400" w:lineRule="exact"/>
              <w:rPr>
                <w:rFonts w:hint="eastAsia" w:ascii="微软雅黑" w:hAnsi="微软雅黑" w:eastAsia="微软雅黑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>
            <w:pPr>
              <w:spacing w:line="400" w:lineRule="exact"/>
              <w:rPr>
                <w:rFonts w:hint="eastAsia" w:ascii="微软雅黑" w:hAnsi="微软雅黑" w:eastAsia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592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微软雅黑" w:hAnsi="微软雅黑" w:eastAsia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sz w:val="24"/>
                <w:szCs w:val="24"/>
              </w:rPr>
              <w:t>4</w:t>
            </w:r>
          </w:p>
        </w:tc>
        <w:tc>
          <w:tcPr>
            <w:tcW w:w="2384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微软雅黑" w:hAnsi="微软雅黑" w:eastAsia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对于不服从领导工作安排和工作调动者</w:t>
            </w:r>
          </w:p>
        </w:tc>
        <w:tc>
          <w:tcPr>
            <w:tcW w:w="2940" w:type="dxa"/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sz w:val="24"/>
                <w:szCs w:val="24"/>
                <w:lang w:eastAsia="zh-CN"/>
              </w:rPr>
              <w:t>总分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  <w:lang w:val="en-US" w:eastAsia="zh-CN"/>
              </w:rPr>
              <w:t>10分，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</w:rPr>
              <w:t>一次扣除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</w:rPr>
              <w:t>分</w:t>
            </w: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(特别严重另外处理)。</w:t>
            </w:r>
          </w:p>
        </w:tc>
        <w:tc>
          <w:tcPr>
            <w:tcW w:w="1265" w:type="dxa"/>
            <w:vAlign w:val="center"/>
          </w:tcPr>
          <w:p>
            <w:pPr>
              <w:spacing w:line="400" w:lineRule="exact"/>
              <w:rPr>
                <w:rFonts w:hint="eastAsia" w:ascii="微软雅黑" w:hAnsi="微软雅黑" w:eastAsia="微软雅黑" w:cs="宋体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>
            <w:pPr>
              <w:spacing w:line="400" w:lineRule="exact"/>
              <w:rPr>
                <w:rFonts w:hint="eastAsia" w:ascii="微软雅黑" w:hAnsi="微软雅黑" w:eastAsia="微软雅黑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5" w:hRule="atLeast"/>
          <w:jc w:val="center"/>
        </w:trPr>
        <w:tc>
          <w:tcPr>
            <w:tcW w:w="592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微软雅黑" w:hAnsi="微软雅黑" w:eastAsia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sz w:val="24"/>
                <w:szCs w:val="24"/>
              </w:rPr>
              <w:t>5</w:t>
            </w:r>
          </w:p>
        </w:tc>
        <w:tc>
          <w:tcPr>
            <w:tcW w:w="2384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对于管辖区域内消防安全</w:t>
            </w:r>
          </w:p>
        </w:tc>
        <w:tc>
          <w:tcPr>
            <w:tcW w:w="2940" w:type="dxa"/>
            <w:vAlign w:val="center"/>
          </w:tcPr>
          <w:p>
            <w:pPr>
              <w:spacing w:line="400" w:lineRule="exact"/>
              <w:rPr>
                <w:rFonts w:hint="default" w:ascii="微软雅黑" w:hAnsi="微软雅黑" w:eastAsia="微软雅黑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sz w:val="24"/>
                <w:szCs w:val="24"/>
              </w:rPr>
              <w:t>灭火器每月检查一次，消防栓每季度检查一次，发现未检查或漏检查的消防栓与灭火器一次扣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</w:rPr>
              <w:t>分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  <w:lang w:eastAsia="zh-CN"/>
              </w:rPr>
              <w:t>，总分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  <w:lang w:val="en-US" w:eastAsia="zh-CN"/>
              </w:rPr>
              <w:t>10分。</w:t>
            </w:r>
          </w:p>
        </w:tc>
        <w:tc>
          <w:tcPr>
            <w:tcW w:w="1265" w:type="dxa"/>
            <w:vAlign w:val="center"/>
          </w:tcPr>
          <w:p>
            <w:pPr>
              <w:spacing w:line="400" w:lineRule="exact"/>
              <w:rPr>
                <w:rFonts w:hint="eastAsia" w:ascii="微软雅黑" w:hAnsi="微软雅黑" w:eastAsia="微软雅黑" w:cs="宋体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>
            <w:pPr>
              <w:spacing w:line="400" w:lineRule="exact"/>
              <w:rPr>
                <w:rFonts w:hint="eastAsia" w:ascii="微软雅黑" w:hAnsi="微软雅黑" w:eastAsia="微软雅黑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5" w:hRule="atLeast"/>
          <w:jc w:val="center"/>
        </w:trPr>
        <w:tc>
          <w:tcPr>
            <w:tcW w:w="592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微软雅黑" w:hAnsi="微软雅黑" w:eastAsia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sz w:val="24"/>
                <w:szCs w:val="24"/>
              </w:rPr>
              <w:t>6</w:t>
            </w:r>
          </w:p>
        </w:tc>
        <w:tc>
          <w:tcPr>
            <w:tcW w:w="2384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对于巡逻点位打卡</w:t>
            </w:r>
          </w:p>
        </w:tc>
        <w:tc>
          <w:tcPr>
            <w:tcW w:w="2940" w:type="dxa"/>
            <w:vAlign w:val="center"/>
          </w:tcPr>
          <w:p>
            <w:pPr>
              <w:spacing w:line="400" w:lineRule="exact"/>
              <w:rPr>
                <w:rFonts w:hint="default" w:ascii="微软雅黑" w:hAnsi="微软雅黑" w:eastAsia="微软雅黑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sz w:val="24"/>
                <w:szCs w:val="24"/>
              </w:rPr>
              <w:t>每个小区设置至少一个巡逻打卡点，要求每</w:t>
            </w:r>
            <w:r>
              <w:rPr>
                <w:rFonts w:ascii="微软雅黑" w:hAnsi="微软雅黑" w:eastAsia="微软雅黑" w:cs="宋体"/>
                <w:sz w:val="24"/>
                <w:szCs w:val="24"/>
              </w:rPr>
              <w:t>4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</w:rPr>
              <w:t>个小时至少打卡一次，发现超过时间未打卡或漏打卡，一次扣</w:t>
            </w:r>
            <w:r>
              <w:rPr>
                <w:rFonts w:ascii="微软雅黑" w:hAnsi="微软雅黑" w:eastAsia="微软雅黑" w:cs="宋体"/>
                <w:sz w:val="24"/>
                <w:szCs w:val="24"/>
              </w:rPr>
              <w:t>1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</w:rPr>
              <w:t>分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  <w:lang w:eastAsia="zh-CN"/>
              </w:rPr>
              <w:t>，总分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  <w:lang w:val="en-US" w:eastAsia="zh-CN"/>
              </w:rPr>
              <w:t>10分</w:t>
            </w:r>
          </w:p>
        </w:tc>
        <w:tc>
          <w:tcPr>
            <w:tcW w:w="1265" w:type="dxa"/>
            <w:vAlign w:val="center"/>
          </w:tcPr>
          <w:p>
            <w:pPr>
              <w:spacing w:line="400" w:lineRule="exact"/>
              <w:rPr>
                <w:rFonts w:hint="eastAsia" w:ascii="微软雅黑" w:hAnsi="微软雅黑" w:eastAsia="微软雅黑" w:cs="宋体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>
            <w:pPr>
              <w:spacing w:line="400" w:lineRule="exact"/>
              <w:rPr>
                <w:rFonts w:hint="eastAsia" w:ascii="微软雅黑" w:hAnsi="微软雅黑" w:eastAsia="微软雅黑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5" w:hRule="atLeast"/>
          <w:jc w:val="center"/>
        </w:trPr>
        <w:tc>
          <w:tcPr>
            <w:tcW w:w="592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微软雅黑" w:hAnsi="微软雅黑" w:eastAsia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sz w:val="24"/>
                <w:szCs w:val="24"/>
              </w:rPr>
              <w:t>7</w:t>
            </w:r>
          </w:p>
        </w:tc>
        <w:tc>
          <w:tcPr>
            <w:tcW w:w="2384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对于交通堵塞、小区占用消防通道，违法乱停。</w:t>
            </w:r>
          </w:p>
        </w:tc>
        <w:tc>
          <w:tcPr>
            <w:tcW w:w="2940" w:type="dxa"/>
            <w:vAlign w:val="center"/>
          </w:tcPr>
          <w:p>
            <w:pPr>
              <w:spacing w:line="400" w:lineRule="exact"/>
              <w:rPr>
                <w:rFonts w:hint="default" w:ascii="微软雅黑" w:hAnsi="微软雅黑" w:eastAsia="微软雅黑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sz w:val="24"/>
                <w:szCs w:val="24"/>
              </w:rPr>
              <w:t>服务中心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  <w:lang w:eastAsia="zh-CN"/>
              </w:rPr>
              <w:t>在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</w:rPr>
              <w:t>接到类似事件，要求秩序维护人员3</w:t>
            </w:r>
            <w:r>
              <w:rPr>
                <w:rFonts w:ascii="微软雅黑" w:hAnsi="微软雅黑" w:eastAsia="微软雅黑" w:cs="宋体"/>
                <w:sz w:val="24"/>
                <w:szCs w:val="24"/>
              </w:rPr>
              <w:t>0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</w:rPr>
              <w:t>分钟内到场处理，超过时间或引起投诉的，每次扣5分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  <w:lang w:eastAsia="zh-CN"/>
              </w:rPr>
              <w:t>，总分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  <w:lang w:val="en-US" w:eastAsia="zh-CN"/>
              </w:rPr>
              <w:t>5分。</w:t>
            </w:r>
          </w:p>
        </w:tc>
        <w:tc>
          <w:tcPr>
            <w:tcW w:w="1265" w:type="dxa"/>
            <w:vAlign w:val="center"/>
          </w:tcPr>
          <w:p>
            <w:pPr>
              <w:spacing w:line="400" w:lineRule="exact"/>
              <w:rPr>
                <w:rFonts w:hint="eastAsia" w:ascii="微软雅黑" w:hAnsi="微软雅黑" w:eastAsia="微软雅黑" w:cs="宋体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>
            <w:pPr>
              <w:spacing w:line="400" w:lineRule="exact"/>
              <w:rPr>
                <w:rFonts w:hint="eastAsia" w:ascii="微软雅黑" w:hAnsi="微软雅黑" w:eastAsia="微软雅黑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5" w:hRule="atLeast"/>
          <w:jc w:val="center"/>
        </w:trPr>
        <w:tc>
          <w:tcPr>
            <w:tcW w:w="592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微软雅黑" w:hAnsi="微软雅黑" w:eastAsia="微软雅黑" w:cs="宋体"/>
                <w:sz w:val="24"/>
                <w:szCs w:val="24"/>
              </w:rPr>
            </w:pPr>
            <w:r>
              <w:rPr>
                <w:rFonts w:ascii="微软雅黑" w:hAnsi="微软雅黑" w:eastAsia="微软雅黑" w:cs="宋体"/>
                <w:sz w:val="24"/>
                <w:szCs w:val="24"/>
              </w:rPr>
              <w:t>8</w:t>
            </w:r>
          </w:p>
        </w:tc>
        <w:tc>
          <w:tcPr>
            <w:tcW w:w="2384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微软雅黑" w:hAnsi="微软雅黑" w:eastAsia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工作时间存在不符合着装规范(包括: 披衣敞怀、挽袖、卷裤腿、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>穿拖鞋、</w:t>
            </w:r>
            <w:r>
              <w:rPr>
                <w:rFonts w:hint="eastAsia" w:ascii="微软雅黑" w:hAnsi="微软雅黑" w:eastAsia="微软雅黑"/>
                <w:sz w:val="24"/>
                <w:szCs w:val="24"/>
              </w:rPr>
              <w:t>歪戴帽子、上衣未扎进腰带里)、有损形象（抽烟、喝酒等）的行为</w:t>
            </w:r>
          </w:p>
        </w:tc>
        <w:tc>
          <w:tcPr>
            <w:tcW w:w="2940" w:type="dxa"/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sz w:val="24"/>
                <w:szCs w:val="24"/>
                <w:lang w:eastAsia="zh-CN"/>
              </w:rPr>
              <w:t>总分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  <w:lang w:val="en-US" w:eastAsia="zh-CN"/>
              </w:rPr>
              <w:t>5分，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</w:rPr>
              <w:t>一次扣除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</w:rPr>
              <w:t>分</w:t>
            </w: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(特别严重另外处理)。</w:t>
            </w:r>
          </w:p>
        </w:tc>
        <w:tc>
          <w:tcPr>
            <w:tcW w:w="1265" w:type="dxa"/>
            <w:vAlign w:val="center"/>
          </w:tcPr>
          <w:p>
            <w:pPr>
              <w:spacing w:line="400" w:lineRule="exact"/>
              <w:rPr>
                <w:rFonts w:hint="eastAsia" w:ascii="微软雅黑" w:hAnsi="微软雅黑" w:eastAsia="微软雅黑" w:cs="宋体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>
            <w:pPr>
              <w:spacing w:line="400" w:lineRule="exact"/>
              <w:rPr>
                <w:rFonts w:hint="eastAsia" w:ascii="微软雅黑" w:hAnsi="微软雅黑" w:eastAsia="微软雅黑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5" w:hRule="atLeast"/>
          <w:jc w:val="center"/>
        </w:trPr>
        <w:tc>
          <w:tcPr>
            <w:tcW w:w="592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微软雅黑" w:hAnsi="微软雅黑" w:eastAsia="微软雅黑" w:cs="宋体"/>
                <w:sz w:val="24"/>
                <w:szCs w:val="24"/>
              </w:rPr>
            </w:pPr>
            <w:r>
              <w:rPr>
                <w:rFonts w:ascii="微软雅黑" w:hAnsi="微软雅黑" w:eastAsia="微软雅黑" w:cs="宋体"/>
                <w:sz w:val="24"/>
                <w:szCs w:val="24"/>
              </w:rPr>
              <w:t>9</w:t>
            </w:r>
          </w:p>
        </w:tc>
        <w:tc>
          <w:tcPr>
            <w:tcW w:w="2384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微软雅黑" w:hAnsi="微软雅黑" w:eastAsia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sz w:val="24"/>
                <w:szCs w:val="24"/>
              </w:rPr>
              <w:t>对于酒后执勤、驾驶或进入娱乐场所的；工作时间进入麻将厅、网吧或驻足观看打牌、下棋等行为；因管理简单粗暴、引发纠纷、</w:t>
            </w: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顶撞客户或领导者、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</w:rPr>
              <w:t>查证属实确属己方责任；直接引发群体性暴力事件。</w:t>
            </w:r>
          </w:p>
        </w:tc>
        <w:tc>
          <w:tcPr>
            <w:tcW w:w="2940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微软雅黑" w:hAnsi="微软雅黑" w:eastAsia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sz w:val="24"/>
                <w:szCs w:val="24"/>
                <w:lang w:eastAsia="zh-CN"/>
              </w:rPr>
              <w:t>总分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  <w:lang w:val="en-US" w:eastAsia="zh-CN"/>
              </w:rPr>
              <w:t>20分，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</w:rPr>
              <w:t>对于酒后执勤、驾驶或着制服进入娱乐场所的，给予一次扣除5分；工作时间进入麻将厅、网吧或驻足观看打牌、下棋等行为，一次扣除10分；因管理简单粗暴、引发纠纷、查证属实确属己方责任，一次扣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</w:rPr>
              <w:t>分；直接引发群体性暴力事件，一次扣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</w:rPr>
              <w:t>分。</w:t>
            </w:r>
          </w:p>
        </w:tc>
        <w:tc>
          <w:tcPr>
            <w:tcW w:w="1265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int="eastAsia" w:ascii="微软雅黑" w:hAnsi="微软雅黑" w:eastAsia="微软雅黑" w:cs="宋体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int="eastAsia" w:ascii="微软雅黑" w:hAnsi="微软雅黑" w:eastAsia="微软雅黑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592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微软雅黑" w:hAnsi="微软雅黑" w:eastAsia="微软雅黑" w:cs="宋体"/>
                <w:sz w:val="24"/>
                <w:szCs w:val="24"/>
              </w:rPr>
            </w:pPr>
            <w:r>
              <w:rPr>
                <w:rFonts w:ascii="微软雅黑" w:hAnsi="微软雅黑" w:eastAsia="微软雅黑" w:cs="宋体"/>
                <w:sz w:val="24"/>
                <w:szCs w:val="24"/>
              </w:rPr>
              <w:t>10</w:t>
            </w:r>
          </w:p>
        </w:tc>
        <w:tc>
          <w:tcPr>
            <w:tcW w:w="2384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微软雅黑" w:hAnsi="微软雅黑" w:eastAsia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sz w:val="24"/>
                <w:szCs w:val="24"/>
              </w:rPr>
              <w:t>对于“吃、拿、卡、要”现象。</w:t>
            </w:r>
          </w:p>
        </w:tc>
        <w:tc>
          <w:tcPr>
            <w:tcW w:w="2940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int="default" w:ascii="微软雅黑" w:hAnsi="微软雅黑" w:eastAsia="微软雅黑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sz w:val="24"/>
                <w:szCs w:val="24"/>
              </w:rPr>
              <w:t>对于“吃、拿、卡、要”现象一经发现一次扣除</w:t>
            </w:r>
            <w:r>
              <w:rPr>
                <w:rFonts w:ascii="微软雅黑" w:hAnsi="微软雅黑" w:eastAsia="微软雅黑" w:cs="宋体"/>
                <w:sz w:val="24"/>
                <w:szCs w:val="24"/>
              </w:rPr>
              <w:t>5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</w:rPr>
              <w:t>分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  <w:lang w:eastAsia="zh-CN"/>
              </w:rPr>
              <w:t>，总分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  <w:lang w:val="en-US" w:eastAsia="zh-CN"/>
              </w:rPr>
              <w:t>5分。</w:t>
            </w:r>
          </w:p>
        </w:tc>
        <w:tc>
          <w:tcPr>
            <w:tcW w:w="1265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int="eastAsia" w:ascii="微软雅黑" w:hAnsi="微软雅黑" w:eastAsia="微软雅黑" w:cs="宋体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int="eastAsia" w:ascii="微软雅黑" w:hAnsi="微软雅黑" w:eastAsia="微软雅黑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92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微软雅黑" w:hAnsi="微软雅黑" w:eastAsia="微软雅黑" w:cs="宋体"/>
                <w:sz w:val="24"/>
                <w:szCs w:val="24"/>
              </w:rPr>
            </w:pPr>
            <w:r>
              <w:rPr>
                <w:rFonts w:ascii="微软雅黑" w:hAnsi="微软雅黑" w:eastAsia="微软雅黑" w:cs="宋体"/>
                <w:sz w:val="24"/>
                <w:szCs w:val="24"/>
              </w:rPr>
              <w:t>11</w:t>
            </w:r>
          </w:p>
        </w:tc>
        <w:tc>
          <w:tcPr>
            <w:tcW w:w="2384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微软雅黑" w:hAnsi="微软雅黑" w:eastAsia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sz w:val="24"/>
                <w:szCs w:val="24"/>
              </w:rPr>
              <w:t>应急突发事件的协助处置。</w:t>
            </w:r>
          </w:p>
        </w:tc>
        <w:tc>
          <w:tcPr>
            <w:tcW w:w="2940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int="default" w:ascii="微软雅黑" w:hAnsi="微软雅黑" w:eastAsia="微软雅黑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sz w:val="24"/>
                <w:szCs w:val="24"/>
              </w:rPr>
              <w:t>未协相关部门做好应急突发事件的现场处置，一次扣除</w:t>
            </w:r>
            <w:r>
              <w:rPr>
                <w:rFonts w:ascii="微软雅黑" w:hAnsi="微软雅黑" w:eastAsia="微软雅黑" w:cs="宋体"/>
                <w:sz w:val="24"/>
                <w:szCs w:val="24"/>
              </w:rPr>
              <w:t>5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</w:rPr>
              <w:t>分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  <w:lang w:eastAsia="zh-CN"/>
              </w:rPr>
              <w:t>，总分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  <w:lang w:val="en-US" w:eastAsia="zh-CN"/>
              </w:rPr>
              <w:t>5分。</w:t>
            </w:r>
          </w:p>
        </w:tc>
        <w:tc>
          <w:tcPr>
            <w:tcW w:w="1265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int="eastAsia" w:ascii="微软雅黑" w:hAnsi="微软雅黑" w:eastAsia="微软雅黑" w:cs="宋体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int="eastAsia" w:ascii="微软雅黑" w:hAnsi="微软雅黑" w:eastAsia="微软雅黑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92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微软雅黑" w:hAnsi="微软雅黑" w:eastAsia="微软雅黑" w:cs="宋体"/>
                <w:sz w:val="24"/>
                <w:szCs w:val="24"/>
              </w:rPr>
            </w:pPr>
            <w:r>
              <w:rPr>
                <w:rFonts w:ascii="微软雅黑" w:hAnsi="微软雅黑" w:eastAsia="微软雅黑" w:cs="宋体"/>
                <w:sz w:val="24"/>
                <w:szCs w:val="24"/>
              </w:rPr>
              <w:t>12</w:t>
            </w:r>
          </w:p>
        </w:tc>
        <w:tc>
          <w:tcPr>
            <w:tcW w:w="2384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微软雅黑" w:hAnsi="微软雅黑" w:eastAsia="微软雅黑" w:cs="宋体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sz w:val="24"/>
                <w:szCs w:val="24"/>
              </w:rPr>
              <w:t>交办的临时性事务的处置。</w:t>
            </w:r>
          </w:p>
        </w:tc>
        <w:tc>
          <w:tcPr>
            <w:tcW w:w="2940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int="default" w:ascii="微软雅黑" w:hAnsi="微软雅黑" w:eastAsia="微软雅黑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sz w:val="24"/>
                <w:szCs w:val="24"/>
              </w:rPr>
              <w:t>未完成交办的临时性事务的处置，一次扣除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</w:rPr>
              <w:t>分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  <w:lang w:eastAsia="zh-CN"/>
              </w:rPr>
              <w:t>，总分</w:t>
            </w:r>
            <w:r>
              <w:rPr>
                <w:rFonts w:hint="eastAsia" w:ascii="微软雅黑" w:hAnsi="微软雅黑" w:eastAsia="微软雅黑" w:cs="宋体"/>
                <w:sz w:val="24"/>
                <w:szCs w:val="24"/>
                <w:lang w:val="en-US" w:eastAsia="zh-CN"/>
              </w:rPr>
              <w:t>5分。</w:t>
            </w:r>
          </w:p>
        </w:tc>
        <w:tc>
          <w:tcPr>
            <w:tcW w:w="1265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int="eastAsia" w:ascii="微软雅黑" w:hAnsi="微软雅黑" w:eastAsia="微软雅黑" w:cs="宋体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int="eastAsia" w:ascii="微软雅黑" w:hAnsi="微软雅黑" w:eastAsia="微软雅黑" w:cs="宋体"/>
                <w:sz w:val="24"/>
                <w:szCs w:val="24"/>
              </w:rPr>
            </w:pPr>
          </w:p>
        </w:tc>
      </w:tr>
    </w:tbl>
    <w:p>
      <w:pPr>
        <w:adjustRightInd w:val="0"/>
        <w:snapToGrid w:val="0"/>
        <w:spacing w:line="360" w:lineRule="auto"/>
        <w:rPr>
          <w:rFonts w:ascii="微软雅黑" w:hAnsi="微软雅黑" w:eastAsia="微软雅黑"/>
          <w:sz w:val="24"/>
          <w:szCs w:val="24"/>
        </w:rPr>
      </w:pPr>
    </w:p>
    <w:p>
      <w:pPr>
        <w:adjustRightInd w:val="0"/>
        <w:snapToGrid w:val="0"/>
        <w:spacing w:line="360" w:lineRule="auto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考核说明：采购人将根据上述考核标准及要求，对保安队员购买服务进行月度考核，考核结果与中标人的人员服务费用挂钩，采购人每月将考核结果反馈给中标人，月度考核不达标人数占总人数50%以上的，采购人有权终止合同。</w:t>
      </w:r>
    </w:p>
    <w:p>
      <w:pPr>
        <w:spacing w:line="54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1、考核分为四个等级：90分（含）以上为优秀；80分（含）-90分（不含）为良好；60分（含）-80分（不含）为基本达标；60分（不含）以下为不达标。</w:t>
      </w:r>
    </w:p>
    <w:p>
      <w:pPr>
        <w:pStyle w:val="2"/>
        <w:ind w:firstLine="480" w:firstLineChars="200"/>
        <w:rPr>
          <w:rFonts w:ascii="微软雅黑" w:hAnsi="微软雅黑" w:eastAsia="微软雅黑"/>
          <w:color w:val="auto"/>
          <w:kern w:val="2"/>
        </w:rPr>
      </w:pPr>
      <w:r>
        <w:rPr>
          <w:rFonts w:ascii="微软雅黑" w:hAnsi="微软雅黑" w:eastAsia="微软雅黑"/>
          <w:color w:val="auto"/>
          <w:kern w:val="2"/>
        </w:rPr>
        <w:t>2</w:t>
      </w:r>
      <w:r>
        <w:rPr>
          <w:rFonts w:hint="eastAsia" w:ascii="微软雅黑" w:hAnsi="微软雅黑" w:eastAsia="微软雅黑"/>
          <w:color w:val="auto"/>
          <w:kern w:val="2"/>
        </w:rPr>
        <w:t>、服务费用分别对应考核结果，月度考核服务基本达标者以上的，每项不合格扣除当月服务费</w:t>
      </w:r>
      <w:r>
        <w:rPr>
          <w:rFonts w:ascii="微软雅黑" w:hAnsi="微软雅黑" w:eastAsia="微软雅黑"/>
          <w:color w:val="auto"/>
          <w:kern w:val="2"/>
        </w:rPr>
        <w:t>30</w:t>
      </w:r>
      <w:r>
        <w:rPr>
          <w:rFonts w:hint="eastAsia" w:ascii="微软雅黑" w:hAnsi="微软雅黑" w:eastAsia="微软雅黑"/>
          <w:color w:val="auto"/>
          <w:kern w:val="2"/>
        </w:rPr>
        <w:t>元/项。</w:t>
      </w:r>
    </w:p>
    <w:p>
      <w:pPr>
        <w:pStyle w:val="2"/>
        <w:ind w:firstLine="480" w:firstLineChars="200"/>
        <w:rPr>
          <w:rFonts w:ascii="微软雅黑" w:hAnsi="微软雅黑" w:eastAsia="微软雅黑"/>
          <w:color w:val="auto"/>
          <w:kern w:val="2"/>
        </w:rPr>
      </w:pPr>
      <w:r>
        <w:rPr>
          <w:rFonts w:ascii="微软雅黑" w:hAnsi="微软雅黑" w:eastAsia="微软雅黑"/>
          <w:color w:val="auto"/>
          <w:kern w:val="2"/>
        </w:rPr>
        <w:t>3</w:t>
      </w:r>
      <w:r>
        <w:rPr>
          <w:rFonts w:hint="eastAsia" w:ascii="微软雅黑" w:hAnsi="微软雅黑" w:eastAsia="微软雅黑"/>
          <w:color w:val="auto"/>
          <w:kern w:val="2"/>
        </w:rPr>
        <w:t>、月度考核不达标或低于6</w:t>
      </w:r>
      <w:r>
        <w:rPr>
          <w:rFonts w:ascii="微软雅黑" w:hAnsi="微软雅黑" w:eastAsia="微软雅黑"/>
          <w:color w:val="auto"/>
          <w:kern w:val="2"/>
        </w:rPr>
        <w:t>0</w:t>
      </w:r>
      <w:r>
        <w:rPr>
          <w:rFonts w:hint="eastAsia" w:ascii="微软雅黑" w:hAnsi="微软雅黑" w:eastAsia="微软雅黑"/>
          <w:color w:val="auto"/>
          <w:kern w:val="2"/>
        </w:rPr>
        <w:t>分（不含）以下的，每项不合格扣除当月服务费</w:t>
      </w:r>
      <w:r>
        <w:rPr>
          <w:rFonts w:ascii="微软雅黑" w:hAnsi="微软雅黑" w:eastAsia="微软雅黑"/>
          <w:color w:val="auto"/>
          <w:kern w:val="2"/>
        </w:rPr>
        <w:t>100</w:t>
      </w:r>
      <w:r>
        <w:rPr>
          <w:rFonts w:hint="eastAsia" w:ascii="微软雅黑" w:hAnsi="微软雅黑" w:eastAsia="微软雅黑"/>
          <w:color w:val="auto"/>
          <w:kern w:val="2"/>
        </w:rPr>
        <w:t>元/项。</w:t>
      </w:r>
    </w:p>
    <w:p>
      <w:pPr>
        <w:pStyle w:val="2"/>
        <w:ind w:firstLine="480" w:firstLineChars="200"/>
        <w:rPr>
          <w:rFonts w:ascii="微软雅黑" w:hAnsi="微软雅黑" w:eastAsia="微软雅黑"/>
          <w:color w:val="auto"/>
        </w:rPr>
      </w:pPr>
      <w:r>
        <w:rPr>
          <w:rFonts w:hint="eastAsia" w:ascii="微软雅黑" w:hAnsi="微软雅黑" w:eastAsia="微软雅黑"/>
          <w:color w:val="auto"/>
          <w:kern w:val="2"/>
        </w:rPr>
        <w:t>4、全年累计</w:t>
      </w:r>
      <w:r>
        <w:rPr>
          <w:rFonts w:ascii="微软雅黑" w:hAnsi="微软雅黑" w:eastAsia="微软雅黑"/>
          <w:color w:val="auto"/>
          <w:kern w:val="2"/>
        </w:rPr>
        <w:t>3</w:t>
      </w:r>
      <w:r>
        <w:rPr>
          <w:rFonts w:hint="eastAsia" w:ascii="微软雅黑" w:hAnsi="微软雅黑" w:eastAsia="微软雅黑"/>
          <w:color w:val="auto"/>
          <w:kern w:val="2"/>
        </w:rPr>
        <w:t>次及以上低于6</w:t>
      </w:r>
      <w:r>
        <w:rPr>
          <w:rFonts w:ascii="微软雅黑" w:hAnsi="微软雅黑" w:eastAsia="微软雅黑"/>
          <w:color w:val="auto"/>
          <w:kern w:val="2"/>
        </w:rPr>
        <w:t>0</w:t>
      </w:r>
      <w:r>
        <w:rPr>
          <w:rFonts w:hint="eastAsia" w:ascii="微软雅黑" w:hAnsi="微软雅黑" w:eastAsia="微软雅黑"/>
          <w:color w:val="auto"/>
          <w:kern w:val="2"/>
        </w:rPr>
        <w:t>分值以下的，采购人有权终止合同。</w:t>
      </w:r>
    </w:p>
    <w:p>
      <w:pPr>
        <w:pStyle w:val="10"/>
        <w:jc w:val="center"/>
      </w:pPr>
      <w:r>
        <w:rPr>
          <w:color w:val="auto"/>
        </w:rPr>
        <w:br w:type="page"/>
      </w:r>
      <w:bookmarkStart w:id="0" w:name="_Toc62727177"/>
      <w:r>
        <w:rPr>
          <w:rFonts w:hint="eastAsia"/>
        </w:rPr>
        <w:t>二、商务要求</w:t>
      </w:r>
      <w:bookmarkEnd w:id="0"/>
    </w:p>
    <w:p>
      <w:r>
        <w:rPr>
          <w:rFonts w:hint="eastAsia"/>
        </w:rPr>
        <w:t xml:space="preserve"> </w:t>
      </w:r>
      <w:r>
        <w:rPr>
          <w:rFonts w:hint="eastAsia"/>
          <w:b/>
          <w:bCs/>
        </w:rPr>
        <w:t xml:space="preserve"> </w:t>
      </w:r>
    </w:p>
    <w:tbl>
      <w:tblPr>
        <w:tblStyle w:val="6"/>
        <w:tblW w:w="0" w:type="auto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716"/>
        <w:gridCol w:w="6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710" w:type="dxa"/>
            <w:vAlign w:val="center"/>
          </w:tcPr>
          <w:p>
            <w:pPr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序号</w:t>
            </w:r>
          </w:p>
        </w:tc>
        <w:tc>
          <w:tcPr>
            <w:tcW w:w="1716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内容</w:t>
            </w:r>
          </w:p>
        </w:tc>
        <w:tc>
          <w:tcPr>
            <w:tcW w:w="6363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710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1</w:t>
            </w:r>
          </w:p>
        </w:tc>
        <w:tc>
          <w:tcPr>
            <w:tcW w:w="1716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合同签订地点</w:t>
            </w:r>
          </w:p>
        </w:tc>
        <w:tc>
          <w:tcPr>
            <w:tcW w:w="6363" w:type="dxa"/>
            <w:vAlign w:val="center"/>
          </w:tcPr>
          <w:p>
            <w:pPr>
              <w:spacing w:line="500" w:lineRule="exact"/>
              <w:rPr>
                <w:rFonts w:ascii="宋体" w:hAnsi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szCs w:val="21"/>
              </w:rPr>
              <w:t>黄山丰润置业有限公司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2</w:t>
            </w:r>
          </w:p>
        </w:tc>
        <w:tc>
          <w:tcPr>
            <w:tcW w:w="1716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提供服务的期限</w:t>
            </w:r>
          </w:p>
        </w:tc>
        <w:tc>
          <w:tcPr>
            <w:tcW w:w="6363" w:type="dxa"/>
            <w:vAlign w:val="center"/>
          </w:tcPr>
          <w:p>
            <w:pPr>
              <w:spacing w:line="500" w:lineRule="exact"/>
              <w:rPr>
                <w:rFonts w:ascii="宋体" w:hAnsi="宋体"/>
                <w:b w:val="0"/>
                <w:bCs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服务期一年；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710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3</w:t>
            </w:r>
          </w:p>
        </w:tc>
        <w:tc>
          <w:tcPr>
            <w:tcW w:w="1716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售后服务</w:t>
            </w:r>
          </w:p>
        </w:tc>
        <w:tc>
          <w:tcPr>
            <w:tcW w:w="6363" w:type="dxa"/>
            <w:vAlign w:val="center"/>
          </w:tcPr>
          <w:p>
            <w:pPr>
              <w:spacing w:line="500" w:lineRule="exact"/>
              <w:rPr>
                <w:rFonts w:ascii="宋体" w:hAnsi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szCs w:val="21"/>
              </w:rPr>
              <w:t>按采购人需求进行售后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4</w:t>
            </w:r>
          </w:p>
        </w:tc>
        <w:tc>
          <w:tcPr>
            <w:tcW w:w="1716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验收</w:t>
            </w:r>
          </w:p>
        </w:tc>
        <w:tc>
          <w:tcPr>
            <w:tcW w:w="6363" w:type="dxa"/>
            <w:vAlign w:val="center"/>
          </w:tcPr>
          <w:p>
            <w:pPr>
              <w:spacing w:line="500" w:lineRule="exact"/>
              <w:rPr>
                <w:rFonts w:ascii="宋体" w:hAnsi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5</w:t>
            </w:r>
          </w:p>
        </w:tc>
        <w:tc>
          <w:tcPr>
            <w:tcW w:w="171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付款</w:t>
            </w:r>
          </w:p>
        </w:tc>
        <w:tc>
          <w:tcPr>
            <w:tcW w:w="6363" w:type="dxa"/>
            <w:vAlign w:val="center"/>
          </w:tcPr>
          <w:p>
            <w:pPr>
              <w:spacing w:line="500" w:lineRule="exact"/>
              <w:rPr>
                <w:rFonts w:ascii="宋体" w:hAnsi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</w:rPr>
              <w:t>付款人：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Cs w:val="21"/>
                <w:highlight w:val="none"/>
              </w:rPr>
              <w:t>黄山丰润置业有限公司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</w:rPr>
              <w:t>付款方式：</w:t>
            </w:r>
            <w:r>
              <w:rPr>
                <w:rFonts w:hint="eastAsia" w:ascii="宋体" w:hAnsi="宋体"/>
                <w:b w:val="0"/>
                <w:bCs/>
                <w:color w:val="auto"/>
                <w:szCs w:val="21"/>
                <w:highlight w:val="none"/>
              </w:rPr>
              <w:t>按合同中一年总价款的1/4按季度为单位向中标人结算，合同执行期间，若考核不合格采购人需提前一个月通知终止合同</w:t>
            </w:r>
            <w:r>
              <w:rPr>
                <w:rFonts w:hint="eastAsia"/>
                <w:b w:val="0"/>
                <w:bCs/>
                <w:color w:val="auto"/>
                <w:szCs w:val="21"/>
                <w:highlight w:val="none"/>
              </w:rPr>
              <w:t>。</w:t>
            </w:r>
            <w:r>
              <w:rPr>
                <w:rFonts w:hint="eastAsia" w:ascii="宋体" w:hAnsi="宋体" w:cs="宋体"/>
                <w:b/>
                <w:bCs/>
                <w:szCs w:val="21"/>
                <w:highlight w:val="non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6</w:t>
            </w:r>
          </w:p>
        </w:tc>
        <w:tc>
          <w:tcPr>
            <w:tcW w:w="1716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履约保证金</w:t>
            </w:r>
          </w:p>
        </w:tc>
        <w:tc>
          <w:tcPr>
            <w:tcW w:w="6363" w:type="dxa"/>
            <w:vAlign w:val="center"/>
          </w:tcPr>
          <w:p>
            <w:pPr>
              <w:spacing w:line="500" w:lineRule="exact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①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合同金额的10%。</w:t>
            </w:r>
            <w:r>
              <w:rPr>
                <w:rFonts w:hint="eastAsia" w:ascii="宋体" w:hAnsi="宋体" w:cs="宋体"/>
                <w:kern w:val="0"/>
                <w:szCs w:val="21"/>
              </w:rPr>
              <w:t>其中投标保证金（如有）采用转账或电汇方式的直接转为履约保证金（留存投标保证金所在账户），不足部分向采购人交纳；若非采用转账或电汇方式的，则按照履约保证金的数额直接向采购人交纳。</w:t>
            </w:r>
            <w:r>
              <w:rPr>
                <w:rFonts w:hint="eastAsia" w:ascii="宋体" w:hAnsi="宋体"/>
                <w:szCs w:val="21"/>
              </w:rPr>
              <w:br w:type="textWrapping"/>
            </w:r>
            <w:r>
              <w:rPr>
                <w:rFonts w:hint="eastAsia" w:ascii="宋体" w:hAnsi="宋体"/>
                <w:szCs w:val="21"/>
              </w:rPr>
              <w:t>②需要向采购人交纳的部分（如有）可采用转账、电汇、支票、汇票、本票、保险、保函等非现金形式。</w:t>
            </w:r>
          </w:p>
        </w:tc>
      </w:tr>
    </w:tbl>
    <w:p>
      <w:r>
        <w:rPr>
          <w:rFonts w:hint="eastAsia"/>
        </w:rPr>
        <w:t xml:space="preserve">  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604DEF"/>
    <w:multiLevelType w:val="multilevel"/>
    <w:tmpl w:val="3D604DEF"/>
    <w:lvl w:ilvl="0" w:tentative="0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1BA6E12"/>
    <w:multiLevelType w:val="multilevel"/>
    <w:tmpl w:val="61BA6E12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5C06BE"/>
    <w:rsid w:val="7F5C0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Arial" w:hAnsi="Arial" w:eastAsia="宋体"/>
      <w:b/>
      <w:bCs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beforeLines="0" w:after="260" w:afterLines="0" w:line="413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lang w:bidi="he-IL"/>
    </w:rPr>
  </w:style>
  <w:style w:type="paragraph" w:customStyle="1" w:styleId="8">
    <w:name w:val="H1"/>
    <w:basedOn w:val="3"/>
    <w:next w:val="1"/>
    <w:qFormat/>
    <w:uiPriority w:val="0"/>
    <w:pPr>
      <w:spacing w:line="600" w:lineRule="exact"/>
      <w:jc w:val="center"/>
    </w:pPr>
    <w:rPr>
      <w:rFonts w:ascii="宋体" w:hAnsi="宋体" w:eastAsia="黑体"/>
      <w:color w:val="000000"/>
      <w:sz w:val="32"/>
      <w:szCs w:val="21"/>
    </w:rPr>
  </w:style>
  <w:style w:type="paragraph" w:styleId="9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0">
    <w:name w:val="H2"/>
    <w:basedOn w:val="4"/>
    <w:next w:val="1"/>
    <w:qFormat/>
    <w:uiPriority w:val="0"/>
    <w:pPr>
      <w:keepNext w:val="0"/>
      <w:keepLines w:val="0"/>
      <w:spacing w:before="0" w:after="0" w:line="360" w:lineRule="auto"/>
      <w:jc w:val="center"/>
    </w:pPr>
    <w:rPr>
      <w:rFonts w:ascii="宋体" w:hAnsi="宋体" w:cs="Arial"/>
      <w:color w:val="00000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2022-06-13T01:00:00Z</dcterms:created>
  <dc:creator> 合普小吴</dc:creator>
  <cp:lastModifiedBy> 合普小吴</cp:lastModifiedBy>
  <dcterms:modified xsi:type="dcterms:W3CDTF">2022-06-13T01:01:10Z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2052-11.1.0.10950</vt:lpwstr>
  </property>
  <property fmtid="{D5CDD505-2E9C-101B-9397-08002B2CF9AE}" pid="3" name="ICV">
    <vt:lpwstr>20A8A298B96041DF911D300C6FA53E8B</vt:lpwstr>
  </property>
</Properties>
</file>